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C9" w:rsidRDefault="005A00C9" w:rsidP="005A00C9">
      <w:pPr>
        <w:framePr w:hSpace="180" w:wrap="around" w:vAnchor="text" w:hAnchor="page" w:x="1801" w:y="87"/>
        <w:tabs>
          <w:tab w:val="left" w:pos="7240"/>
        </w:tabs>
        <w:rPr>
          <w:b/>
          <w:sz w:val="28"/>
          <w:szCs w:val="28"/>
        </w:rPr>
      </w:pPr>
    </w:p>
    <w:p w:rsidR="005A00C9" w:rsidRDefault="005A00C9" w:rsidP="005A00C9">
      <w:pPr>
        <w:framePr w:hSpace="180" w:wrap="around" w:vAnchor="text" w:hAnchor="page" w:x="1801" w:y="87"/>
        <w:tabs>
          <w:tab w:val="left" w:pos="72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A00C9" w:rsidRDefault="005A00C9" w:rsidP="005A00C9">
      <w:pPr>
        <w:framePr w:hSpace="180" w:wrap="around" w:vAnchor="text" w:hAnchor="page" w:x="1801" w:y="87"/>
        <w:tabs>
          <w:tab w:val="left" w:pos="7240"/>
        </w:tabs>
        <w:jc w:val="center"/>
        <w:rPr>
          <w:sz w:val="28"/>
          <w:szCs w:val="28"/>
        </w:rPr>
      </w:pPr>
    </w:p>
    <w:p w:rsidR="005A00C9" w:rsidRDefault="005A00C9" w:rsidP="005A00C9">
      <w:pPr>
        <w:framePr w:hSpace="180" w:wrap="around" w:vAnchor="text" w:hAnchor="page" w:x="1801" w:y="87"/>
        <w:tabs>
          <w:tab w:val="left" w:pos="7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  ОБРАЗОВАНИЯ</w:t>
      </w:r>
    </w:p>
    <w:p w:rsidR="005A00C9" w:rsidRDefault="005A00C9" w:rsidP="005A00C9">
      <w:pPr>
        <w:framePr w:hSpace="180" w:wrap="around" w:vAnchor="text" w:hAnchor="page" w:x="1801" w:y="87"/>
        <w:tabs>
          <w:tab w:val="left" w:pos="7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ПЕТРОХЕРСОНЕЦКИЙ  СЕЛЬСОВЕТ</w:t>
      </w:r>
    </w:p>
    <w:p w:rsidR="005A00C9" w:rsidRDefault="005A00C9" w:rsidP="005A00C9">
      <w:pPr>
        <w:framePr w:hSpace="180" w:wrap="around" w:vAnchor="text" w:hAnchor="page" w:x="1801" w:y="87"/>
        <w:pBdr>
          <w:bottom w:val="single" w:sz="12" w:space="1" w:color="auto"/>
        </w:pBdr>
        <w:tabs>
          <w:tab w:val="left" w:pos="7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 РАЙОНА   ОРЕНБУРГСКОЙ  ОБЛАСТИ</w:t>
      </w:r>
    </w:p>
    <w:p w:rsidR="005A00C9" w:rsidRDefault="005A00C9" w:rsidP="005A00C9">
      <w:pPr>
        <w:framePr w:hSpace="180" w:wrap="around" w:vAnchor="text" w:hAnchor="page" w:x="1801" w:y="87"/>
        <w:tabs>
          <w:tab w:val="left" w:pos="7240"/>
        </w:tabs>
        <w:rPr>
          <w:sz w:val="28"/>
          <w:szCs w:val="28"/>
        </w:rPr>
      </w:pPr>
    </w:p>
    <w:p w:rsidR="005A00C9" w:rsidRDefault="005A00C9" w:rsidP="005A00C9">
      <w:pPr>
        <w:framePr w:hSpace="180" w:wrap="around" w:vAnchor="text" w:hAnchor="page" w:x="1801" w:y="87"/>
        <w:tabs>
          <w:tab w:val="left" w:pos="7240"/>
        </w:tabs>
        <w:rPr>
          <w:sz w:val="28"/>
          <w:szCs w:val="28"/>
        </w:rPr>
      </w:pPr>
      <w:r>
        <w:rPr>
          <w:sz w:val="28"/>
          <w:szCs w:val="28"/>
        </w:rPr>
        <w:t>08.11.2012  года                                                                                   № 107-п</w:t>
      </w:r>
    </w:p>
    <w:p w:rsidR="005A00C9" w:rsidRDefault="005A00C9" w:rsidP="005A00C9">
      <w:pPr>
        <w:ind w:firstLine="709"/>
        <w:jc w:val="both"/>
      </w:pPr>
    </w:p>
    <w:p w:rsidR="005A00C9" w:rsidRDefault="005A00C9" w:rsidP="005A00C9">
      <w:pPr>
        <w:spacing w:line="276" w:lineRule="auto"/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комплекса мероприятий первоочередного жизнеобеспечения населения при возникновении чрезвычайных ситуаций природного и техногенного характера на территории муниципального образования Петрохерсонецкий сельсовет</w:t>
      </w:r>
      <w:bookmarkStart w:id="0" w:name="_GoBack"/>
      <w:bookmarkEnd w:id="0"/>
    </w:p>
    <w:p w:rsidR="005A00C9" w:rsidRDefault="005A00C9" w:rsidP="005A00C9">
      <w:pPr>
        <w:spacing w:line="276" w:lineRule="auto"/>
        <w:ind w:firstLine="709"/>
        <w:jc w:val="center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27.04.2000 №379 «О накоплении, хранении и использовании в целях гражданской обороны запасов материально-технических средств, продовольственных, имущественных и иных средств, приказом Министерства по предупреждению и ликвидации чрезвычайных ситуаций Российской Федерации от 31.12.2002 №632 «Об утверждении Порядка подготовки, представления прогнозной информации и организации реагирования на прогнозы чрезвычайных ситуаций» и в целях обеспечения жизнедеятельности населения Петрохерсонецкого сельсовета при возможных чрезвычайных ситуациях п о с т а н о в л я ю: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комплекс мероприятий администрации Петрохероснецкого сельского поселения  при возникновении чрезвычайных ситуаций природного и техногенного характера, согласно приложению № 1.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обеспечения  первоочередного жизнеобеспечения населения Петрохерсонецкого сельского поселения в зонах чрезвычайных ситуаций, согласно приложению № 2.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руководство организационно-методическим планированием первоочередного жизнеобеспечения населения Петрохерсонецкого сельского поселения при чрезвычайных ситуациях на специалиста  администрации Петрохерсонецкого сельсовета.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00C9" w:rsidRDefault="005A00C9" w:rsidP="005A00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A00C9" w:rsidRDefault="005A00C9" w:rsidP="005A00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Петрохерсонецкий сельсовет:                                                    Е.Г. Егорова</w:t>
      </w:r>
    </w:p>
    <w:p w:rsidR="005A00C9" w:rsidRDefault="005A00C9" w:rsidP="005A00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прокуратуре, администрации района, в дело</w:t>
      </w:r>
    </w:p>
    <w:p w:rsidR="005A00C9" w:rsidRDefault="005A00C9" w:rsidP="005A00C9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Приложение № 1</w:t>
      </w:r>
    </w:p>
    <w:p w:rsidR="005A00C9" w:rsidRDefault="005A00C9" w:rsidP="005A00C9">
      <w:pPr>
        <w:spacing w:line="276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5A00C9" w:rsidRDefault="005A00C9" w:rsidP="005A00C9">
      <w:pPr>
        <w:spacing w:line="276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Петрохерсонецкий сельсоветот </w:t>
      </w:r>
    </w:p>
    <w:p w:rsidR="005A00C9" w:rsidRDefault="005A00C9" w:rsidP="005A00C9">
      <w:pPr>
        <w:spacing w:line="276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08.11.2012г. №107-п</w:t>
      </w:r>
    </w:p>
    <w:p w:rsidR="005A00C9" w:rsidRDefault="005A00C9" w:rsidP="005A00C9">
      <w:pPr>
        <w:spacing w:line="276" w:lineRule="auto"/>
        <w:jc w:val="right"/>
        <w:rPr>
          <w:sz w:val="28"/>
          <w:szCs w:val="28"/>
        </w:rPr>
      </w:pPr>
    </w:p>
    <w:p w:rsidR="005A00C9" w:rsidRDefault="005A00C9" w:rsidP="005A00C9">
      <w:pPr>
        <w:spacing w:line="276" w:lineRule="auto"/>
        <w:jc w:val="both"/>
        <w:rPr>
          <w:sz w:val="28"/>
          <w:szCs w:val="28"/>
        </w:rPr>
      </w:pPr>
    </w:p>
    <w:p w:rsidR="005A00C9" w:rsidRDefault="005A00C9" w:rsidP="005A00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 </w:t>
      </w:r>
    </w:p>
    <w:p w:rsidR="005A00C9" w:rsidRDefault="005A00C9" w:rsidP="005A00C9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администрации Петрохерсонецкого сельсовета  при возникновении чрезвычайных ситуаций природного и техногенного характера</w:t>
      </w:r>
    </w:p>
    <w:p w:rsidR="005A00C9" w:rsidRDefault="005A00C9" w:rsidP="005A00C9">
      <w:pPr>
        <w:spacing w:line="276" w:lineRule="auto"/>
        <w:jc w:val="both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Главными задачами администрации Петрохерсонецкого сельсовета  при возникновении чрезвычайных ситуаций природного и техногенного характера являются: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принятие управленческих решений, обеспечивающих минимизацию риска гибели людей и снижение ущерба от чрезвычайных ситуаций;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оперативности выполнения мероприятий по развертыванию сил и средств районного звена областной подсистемы единой государственной системы предупреждения и ликвидации чрезвычайных ситуаций (далее - РСЧС) в зоне прогнозируемого возникновения чрезвычайных ситуаций (далее - ЧС).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2.Председателю комиссии по предупреждению и ликвидации чрезвычайных ситуаций Петрохерсонецкого сельсовета (далее - КЧС и ПБ  сельсовета) при поступлении прогноза или экстренного предупреждения о ЧС рекомендуется: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взаимодействие между организациями, силами и средствами по вопросам предупреждения и ликвидации последствий прогнозируемой ЧС;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и уточнить наиболее уязвимые объекты и их элементы.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При получении прогноза или экстренного предупреждения о возможном возникновении ЧС локального или местного уровня рекомендуется: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-направить в адрес председателя КЧС и ПБ  муниципального образования Грачевский район информацию следующего содержания: «На территории (указывается район  поселения) ожидается возникновение (указывается вид ЧС: природная, природно-техногенная, техногенная) ЧС </w:t>
      </w:r>
      <w:r>
        <w:rPr>
          <w:sz w:val="28"/>
          <w:szCs w:val="28"/>
        </w:rPr>
        <w:lastRenderedPageBreak/>
        <w:t>локального (местного) уровня, обусловленная (указывается вид источника ЧС). В результате возможны (указываются возможные последствия) в районе (указываются районы, населенные пункты и объекты, где прогнозируются указанные последствия), рекомендуется (указываются мероприятия направленные на предупреждение ЧС, смягчение последствий ЧС)»;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-инициировать проведение заседаний комиссий по чрезвычайным ситуациям и обеспечению пожарной безопасности на территории поселения, где   прогнозируется ЧС;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-проверить готовность сил и средств к действиям по предупреждению и ликвидации последствий прогнозируемой ЧС;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-проверить готовность систем оповещения;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-уточнить план действий по предупреждению и ликвидации ЧС с учетом вида источника ЧС и мест его вероятного возникновения;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-уточнить организацию взаимодействия сил и средств, привлекаемых для проведения работ по предупреждению и ликвидации последствий прогнозируемых ЧС.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затруднений, связанных с оценкой ситуации, определенной прогнозом или экстренным предупреждением о ЧС, рекомендуется запросить помощь  администрации муниципального образования Грачевский район.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  <w:t>Комплекс мероприятий,</w:t>
      </w: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возникновении чрезвычайной ситуации природного</w:t>
      </w: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техногенного характера (далее - ЧС)</w:t>
      </w: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"/>
        <w:gridCol w:w="3214"/>
        <w:gridCol w:w="5819"/>
      </w:tblGrid>
      <w:tr w:rsidR="005A00C9" w:rsidTr="005A0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ind w:left="-11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Главы Петрохерсонецкого сельского поселения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Проводимые мероприятия</w:t>
            </w:r>
          </w:p>
        </w:tc>
      </w:tr>
      <w:tr w:rsidR="005A00C9" w:rsidTr="005A00C9">
        <w:trPr>
          <w:trHeight w:val="20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Уяснение и уточнение полученной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Определить: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-время начала ЧС;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-район бедствия и его масштабы;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-наличие и количество пострадавших;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-предварительные объемы разрушений;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-ожидаемая продолжительность ЧС;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-угроза населению и материальным ценностям</w:t>
            </w:r>
          </w:p>
        </w:tc>
      </w:tr>
      <w:tr w:rsidR="005A00C9" w:rsidTr="005A0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tabs>
                <w:tab w:val="left" w:pos="1680"/>
                <w:tab w:val="center" w:pos="448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Принятие экстренных мер:</w:t>
            </w:r>
          </w:p>
        </w:tc>
      </w:tr>
      <w:tr w:rsidR="005A00C9" w:rsidTr="005A0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ind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оповещению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оповещение: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-дежурных сил и средств постоянной готовности;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-населения, попадающего в зону ЧС;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-членов КЧС и ПБ  Петрохерсонецкого сельского поселения, на чьей территории произошла ЧС;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-проинформировать через СМИ о факте ЧС и порядке действий</w:t>
            </w:r>
          </w:p>
        </w:tc>
      </w:tr>
      <w:tr w:rsidR="005A00C9" w:rsidTr="005A00C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ind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организации разведки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разведки с использованием транспортных средств объектов.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постоянный контроль за развитием ЧС.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защите населения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Довести порядок действий населения, попадающих в зону ЧС.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эвакуацию населения из опасных зон.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оказание медицинской помощи пострадавшим.</w:t>
            </w:r>
          </w:p>
        </w:tc>
      </w:tr>
      <w:tr w:rsidR="005A00C9" w:rsidTr="005A00C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аварийно-спасательных и других неотложных работ </w:t>
            </w:r>
          </w:p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АСНДР):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управления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в действие «План действий по предупреждению и ликвидации ЧС», в части касающейся.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 руководителя ликвидации (локализации) ЧС.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состав оперативной группы КЧС и ПБ, порядок ее работы и организацию связи с ней.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Прибыть в зону ЧС 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устойчивую связь с  администрацией Грачевского района.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взаимодействие с КЧС и ПБ соседних административных образований и другими участниками взаимодействия.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сбор, обработку и обмен информацией о ЧС с взаимодействующими структурами. </w:t>
            </w:r>
          </w:p>
        </w:tc>
      </w:tr>
      <w:tr w:rsidR="005A00C9" w:rsidTr="005A00C9"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ind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обстановки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масштабы и зону ЧС.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Сделать расчет необходимых сил и средств для проведения АСНДР и ликвидации </w:t>
            </w:r>
            <w:r>
              <w:rPr>
                <w:sz w:val="28"/>
                <w:szCs w:val="28"/>
              </w:rPr>
              <w:lastRenderedPageBreak/>
              <w:t>последствий ЧС.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 резерв сил и средств.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сил и средств, привлекаемых для ликвидации (локализации) ЧС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силы и средства объектов и служб постоянной и повышенной готовности.</w:t>
            </w:r>
          </w:p>
        </w:tc>
      </w:tr>
      <w:tr w:rsidR="005A00C9" w:rsidTr="005A00C9">
        <w:trPr>
          <w:trHeight w:val="21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ind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АСНДР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количество и состав смен, места (участки) проведения АСНДР.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время начала и продолжительность работ каждой смены.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питание, места отдыха, жизнеобеспечения и порядок доставки аварийно-спасательных формирований к месту проведения работ.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отселение (эвакуацию) населения и материальных ценностей из зоны ЧС (с обязательным учетом).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жизнеобеспечение отселенного и пострадавшего населения.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00C9" w:rsidTr="005A00C9">
        <w:trPr>
          <w:trHeight w:val="212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ind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</w:tr>
      <w:tr w:rsidR="005A00C9" w:rsidTr="005A00C9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ind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издаваемые нормативно-правовые акты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принятые решения постановлениями и распоряжениями: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оперативной группы КЧС и ПБ с указанием задач и функций членов группы о введении установленного режима функционирования подсистемы РСЧС (при необходимости);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управления и связи в зоне ЧС;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жизнеобеспечения пострадавшего населения;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другие.</w:t>
            </w:r>
          </w:p>
        </w:tc>
      </w:tr>
      <w:tr w:rsidR="005A00C9" w:rsidTr="005A0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АСНДР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 руководить проведением АСНДР до прибытия председателя КЧС и ОПБ района. Проводить корректировку и уточнение принятых решений в зависимости от развития обстановки.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выполнения поставленных задач и принятых решений.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Организовать оценку ущерба и подготовку материалов на возмещение ущерба.</w:t>
            </w:r>
          </w:p>
        </w:tc>
      </w:tr>
      <w:tr w:rsidR="005A00C9" w:rsidTr="005A0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последствий ЧС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восстановительных работ до полной ликвидации последствий ЧС.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анализ действий сил и средств по спасению пострадавших, установить причины возникновения ЧС и виновных лиц.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комплект документов на возмещение материального ущерба.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 решению социальных и материальных проблем пострадавших.</w:t>
            </w:r>
          </w:p>
        </w:tc>
      </w:tr>
    </w:tbl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A00C9" w:rsidRDefault="005A00C9" w:rsidP="005A00C9">
      <w:pPr>
        <w:spacing w:line="276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5A00C9" w:rsidRDefault="005A00C9" w:rsidP="005A00C9">
      <w:pPr>
        <w:spacing w:line="276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Петрохерсонецкий сельсоветот</w:t>
      </w:r>
    </w:p>
    <w:p w:rsidR="005A00C9" w:rsidRDefault="005A00C9" w:rsidP="005A00C9">
      <w:pPr>
        <w:spacing w:line="276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08.11.2012г.  № 107-п</w:t>
      </w: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первоочередного жизнеобеспечения населения в зонах ЧС</w:t>
      </w: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Нормы обеспечения населения основными продуктами питания</w:t>
      </w: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5539"/>
        <w:gridCol w:w="2104"/>
        <w:gridCol w:w="1256"/>
      </w:tblGrid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из смеси ржаной обойной и пшеничной муки 1-го сорта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гр./чел </w:t>
            </w:r>
          </w:p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сутки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белый из пшеничной муки 1-го сорта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 2-го сорта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разная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и молокопродукты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и мясопродукты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и рыбопродукты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 животные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Свекла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Огурцы, помидоры, коренья, зелень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Сигареты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пачек/чел в сутки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Спички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короб./чел. в сутки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</w:p>
    <w:p w:rsidR="005A00C9" w:rsidRDefault="005A00C9" w:rsidP="005A00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Пищевой состав набора продуктов по нормам включает:</w:t>
      </w:r>
    </w:p>
    <w:p w:rsidR="005A00C9" w:rsidRDefault="005A00C9" w:rsidP="005A00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белков – 63 гр. (10% калорийности);</w:t>
      </w:r>
    </w:p>
    <w:p w:rsidR="005A00C9" w:rsidRDefault="005A00C9" w:rsidP="005A00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жиров – 62 гр. (23% калорийности);</w:t>
      </w:r>
    </w:p>
    <w:p w:rsidR="005A00C9" w:rsidRDefault="005A00C9" w:rsidP="005A00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углеводов – 410 гр. (67% калорийности).</w:t>
      </w:r>
    </w:p>
    <w:p w:rsidR="005A00C9" w:rsidRDefault="005A00C9" w:rsidP="005A00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Калорийность суточного рациона – 2522 Ккал.</w:t>
      </w:r>
    </w:p>
    <w:p w:rsidR="005A00C9" w:rsidRDefault="005A00C9" w:rsidP="005A00C9">
      <w:pPr>
        <w:spacing w:line="276" w:lineRule="auto"/>
        <w:rPr>
          <w:sz w:val="28"/>
          <w:szCs w:val="28"/>
        </w:rPr>
      </w:pP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Нормы замены продуктов при выдаче населению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"/>
        <w:gridCol w:w="5754"/>
        <w:gridCol w:w="1728"/>
        <w:gridCol w:w="1568"/>
      </w:tblGrid>
      <w:tr w:rsidR="005A00C9" w:rsidTr="005A00C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ind w:left="-14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грамм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заменяемого продукта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продукта заменителя</w:t>
            </w:r>
          </w:p>
        </w:tc>
      </w:tr>
      <w:tr w:rsidR="005A00C9" w:rsidTr="005A00C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из смеси ржаной обойной муки и пшеничной муки 1-го сорта заменять: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сухарями из ржаной обойной, пшеничной обойной и 2-го сорта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галетами простыми из муки пшеничной обойной и 2-го сорта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мукой ржаной обойной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мукой пшеничной 1-го сорта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хлебом из муки пшеничной 2-го сорта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хлебом белым из муки пшеничной 1-го сорта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A00C9" w:rsidTr="005A00C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белый из муки пшеничной 1-го сорта заменять: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сухарями из муки пшеничной 1-го сорта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мукой пшеничной 1-го сорта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галетами простыми из муки пшеничной 1-го сорта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батонами простыми и нарезными из муки пшеничной 1-го сорта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хлебом из муки пшеничной высшего сорта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хлебом из муки пшеничной 2-го сорта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5A00C9" w:rsidTr="005A00C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Крупу разную заменять: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макаронными изделиями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концентратами крупяными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крупоовощными и овощными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картофелем свежим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овощами свежими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овощами квашеными и солеными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картофелем и овощами сушенными, пюре </w:t>
            </w:r>
            <w:r>
              <w:rPr>
                <w:sz w:val="28"/>
                <w:szCs w:val="28"/>
              </w:rPr>
              <w:lastRenderedPageBreak/>
              <w:t>картофельным сухим, картофельной крупы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консервами овощными первых обеденных блюд без мяса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консервами овощными заправочными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консервами овощными закусочными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5A00C9" w:rsidTr="005A00C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говядину, свинину, баранину заменять: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субпродуктами первой категории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субпродуктами второй категории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птицы потрошенной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 птицы полупотрошенной и непотрошенной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Мясокопченностями (ветчина, грудинка, рулеты, колбаса полукопченная)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консервами мясными разными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консервами из птицы с костями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рыбой (в охлажденном, мороженном и соленом виде без головы)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консервами рыбными разными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сыром твердым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сыром плавленым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Яйцами куриными, шт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A00C9" w:rsidRDefault="005A00C9" w:rsidP="005A00C9">
      <w:pPr>
        <w:spacing w:line="276" w:lineRule="auto"/>
        <w:rPr>
          <w:sz w:val="28"/>
          <w:szCs w:val="28"/>
        </w:rPr>
      </w:pP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Рекомендуемые среднесуточные наборы продуктов </w:t>
      </w: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детей возраста до 1 года</w:t>
      </w: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5054"/>
        <w:gridCol w:w="1373"/>
        <w:gridCol w:w="833"/>
        <w:gridCol w:w="838"/>
        <w:gridCol w:w="803"/>
      </w:tblGrid>
      <w:tr w:rsidR="005A00C9" w:rsidTr="005A0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продукта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продуктов в граммах по возрастным группам (месяцев)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</w:tr>
      <w:tr w:rsidR="005A00C9" w:rsidTr="005A0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Хлебопродукты: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 (или сухари)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A00C9" w:rsidTr="005A0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Крупа, макаронные изделия: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«Геркулес»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рисовая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манная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гречневая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A00C9" w:rsidTr="005A0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всего, в т.ч: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 сладкий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зелень и другие овощи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горошек зеленый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00C9" w:rsidTr="005A0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фруктовое пюре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сухофрукты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A00C9" w:rsidTr="005A0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Сахар, кондитерские изделия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и рыбопродукты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A00C9" w:rsidTr="005A0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и мясопродукты: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(для бульона)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00C9" w:rsidTr="005A0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и молочные продукты: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молочные смеси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натуральное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A00C9" w:rsidTr="005A0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A00C9" w:rsidRDefault="005A00C9" w:rsidP="005A00C9">
      <w:pPr>
        <w:spacing w:line="276" w:lineRule="auto"/>
        <w:rPr>
          <w:sz w:val="28"/>
          <w:szCs w:val="28"/>
        </w:rPr>
      </w:pP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Рекомендуемые комплекты одежды, белья и обуви</w:t>
      </w: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выдачи пострадавшему населению</w:t>
      </w: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9"/>
        <w:gridCol w:w="2842"/>
        <w:gridCol w:w="959"/>
        <w:gridCol w:w="2866"/>
        <w:gridCol w:w="935"/>
      </w:tblGrid>
      <w:tr w:rsidR="005A00C9" w:rsidTr="005A00C9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сезона </w:t>
            </w:r>
          </w:p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(времени года)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мужчин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женщин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одежды, белья, обуви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одежды, белья, обуви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5A00C9" w:rsidTr="005A00C9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1 (летний сезон)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 летнее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носки (пара)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чулки (пара)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белье нательное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белье нательное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майки и трусы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их 2 предметов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летняя (пара)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летняя (пара)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2 (зимний сезон)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Пальто, куртка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Пальто, куртка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платье, костюм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сорочка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белье нательное (комплект из 2 предметов)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белье нательное 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(комплект из 2 предметов)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носки (пара)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чулки (пара)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шапка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платок головной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шапка вязанная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(пара)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(пара)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перчатки, варежки (пара)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перчатки, варежки (пара)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3 (осенне-зимний сезон)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Плащ, куртка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Плащ, куртка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платье, костюм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сорочка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белье нательное (комплект из 2 предметов)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белье нательное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(комплект из 2 предметов)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носки (пара)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чулки (пара)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головной убор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(кепки, береты)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платок головной</w:t>
            </w:r>
          </w:p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(кепки, береты)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(пара)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(пара)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5.Нормы обеспечения населения предметами первой необходимости</w:t>
      </w: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"/>
        <w:gridCol w:w="5865"/>
        <w:gridCol w:w="1957"/>
        <w:gridCol w:w="945"/>
      </w:tblGrid>
      <w:tr w:rsidR="005A00C9" w:rsidTr="005A00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5A00C9" w:rsidTr="005A00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шт/чел.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 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шт.на 10 чел.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металлический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шт.на 10 чел.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0C9" w:rsidTr="005A00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г/чел./мес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A00C9" w:rsidTr="005A00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моющее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г/чел./мес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5A00C9" w:rsidTr="005A00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компл./чел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A00C9" w:rsidRDefault="005A00C9" w:rsidP="005A00C9">
      <w:pPr>
        <w:spacing w:line="276" w:lineRule="auto"/>
        <w:rPr>
          <w:sz w:val="28"/>
          <w:szCs w:val="28"/>
        </w:rPr>
      </w:pP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6.Нормы обеспечения населения водой</w:t>
      </w:r>
    </w:p>
    <w:p w:rsidR="005A00C9" w:rsidRDefault="005A00C9" w:rsidP="005A00C9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5179"/>
        <w:gridCol w:w="1112"/>
        <w:gridCol w:w="1274"/>
        <w:gridCol w:w="1274"/>
      </w:tblGrid>
      <w:tr w:rsidR="005A00C9" w:rsidTr="005A00C9"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потребления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водообеспечения (дм. куб./чел./сутки)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5A00C9" w:rsidTr="005A00C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Питье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2,5/5,0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00C9" w:rsidTr="005A00C9"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пищи, умывание в том числе: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пищи и мытье кухонной посуды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индивидуальной посуды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A00C9" w:rsidTr="005A0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C9" w:rsidRDefault="005A00C9">
            <w:pPr>
              <w:rPr>
                <w:sz w:val="28"/>
                <w:szCs w:val="28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лица и рук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A00C9" w:rsidTr="005A00C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санитарно-гигиенических потребностей человека и обеспечение санитарно-гигиенического состояния помещения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</w:tr>
      <w:tr w:rsidR="005A00C9" w:rsidTr="005A00C9">
        <w:tc>
          <w:tcPr>
            <w:tcW w:w="6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2,5/5,0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10,0/12,5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31,0/33,5</w:t>
            </w:r>
          </w:p>
        </w:tc>
      </w:tr>
    </w:tbl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приведены в соответствии с ГОСТ 22.3.006-87 «нормы водообеспечения населения»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том числе указаны нормы водообеспечения для питья взрослого населения и подростков (от 14 лет и старше), а в знаменателе – нормы для детей от 1 года и до 14 лет и кормящих матерей.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Нормы водообеспечения даны для климатической зоны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Для зоны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 коэффициент 1,3, а для зон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коэффициент 1,6.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лечебных нужд приведенные в таблице нормы увеличиваются на 5 дм куб. в сутки на каждого больного, находящегося в леченом учреждении, независимо от климатической зоны и режима водообеспечения.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Норму для питья людям, выполняющим работу различной категории тяжести, умножают на коэффициенты, приведенные в нижеследующей таблице. </w:t>
      </w: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709"/>
        <w:jc w:val="both"/>
        <w:rPr>
          <w:sz w:val="28"/>
          <w:szCs w:val="28"/>
        </w:rPr>
      </w:pPr>
    </w:p>
    <w:p w:rsidR="005A00C9" w:rsidRDefault="005A00C9" w:rsidP="005A00C9">
      <w:pPr>
        <w:spacing w:line="276" w:lineRule="auto"/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4"/>
        <w:gridCol w:w="2394"/>
        <w:gridCol w:w="2961"/>
        <w:gridCol w:w="1872"/>
      </w:tblGrid>
      <w:tr w:rsidR="005A00C9" w:rsidTr="005A00C9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Категория работ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воздуха в помещении (градус)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</w:t>
            </w:r>
          </w:p>
        </w:tc>
      </w:tr>
      <w:tr w:rsidR="005A00C9" w:rsidTr="005A00C9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- 1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5A00C9" w:rsidTr="005A00C9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Средней тяжести - 11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</w:tr>
      <w:tr w:rsidR="005A00C9" w:rsidTr="005A00C9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</w:tr>
      <w:tr w:rsidR="005A00C9" w:rsidTr="005A00C9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5A00C9" w:rsidTr="005A00C9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- 11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C9" w:rsidRDefault="005A00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</w:tbl>
    <w:p w:rsidR="005A00C9" w:rsidRDefault="005A00C9" w:rsidP="005A00C9">
      <w:pPr>
        <w:widowControl w:val="0"/>
        <w:spacing w:line="276" w:lineRule="auto"/>
        <w:ind w:left="6379"/>
        <w:jc w:val="both"/>
        <w:rPr>
          <w:sz w:val="28"/>
          <w:szCs w:val="28"/>
        </w:rPr>
      </w:pPr>
    </w:p>
    <w:p w:rsidR="005A00C9" w:rsidRDefault="005A00C9" w:rsidP="005A00C9">
      <w:pPr>
        <w:widowControl w:val="0"/>
        <w:spacing w:line="276" w:lineRule="auto"/>
        <w:ind w:left="6379"/>
        <w:jc w:val="both"/>
        <w:rPr>
          <w:sz w:val="28"/>
          <w:szCs w:val="28"/>
        </w:rPr>
      </w:pPr>
    </w:p>
    <w:p w:rsidR="005A00C9" w:rsidRDefault="005A00C9" w:rsidP="005A00C9">
      <w:pPr>
        <w:spacing w:before="240" w:line="276" w:lineRule="auto"/>
        <w:rPr>
          <w:sz w:val="28"/>
          <w:szCs w:val="28"/>
        </w:rPr>
      </w:pPr>
    </w:p>
    <w:p w:rsidR="005A00C9" w:rsidRDefault="005A00C9" w:rsidP="005A00C9">
      <w:pPr>
        <w:spacing w:before="240" w:line="276" w:lineRule="auto"/>
        <w:rPr>
          <w:sz w:val="28"/>
          <w:szCs w:val="28"/>
        </w:rPr>
      </w:pPr>
    </w:p>
    <w:p w:rsidR="005A00C9" w:rsidRDefault="005A00C9" w:rsidP="005A00C9">
      <w:pPr>
        <w:spacing w:before="240"/>
      </w:pPr>
    </w:p>
    <w:p w:rsidR="005A00C9" w:rsidRDefault="005A00C9" w:rsidP="005A00C9">
      <w:pPr>
        <w:spacing w:before="240"/>
      </w:pPr>
    </w:p>
    <w:p w:rsidR="005A00C9" w:rsidRDefault="005A00C9" w:rsidP="005A00C9">
      <w:pPr>
        <w:spacing w:before="240"/>
      </w:pPr>
    </w:p>
    <w:p w:rsidR="005A00C9" w:rsidRDefault="005A00C9" w:rsidP="005A00C9">
      <w:pPr>
        <w:spacing w:before="240"/>
      </w:pPr>
    </w:p>
    <w:p w:rsidR="005A00C9" w:rsidRDefault="005A00C9" w:rsidP="005A00C9">
      <w:pPr>
        <w:spacing w:before="240"/>
      </w:pPr>
    </w:p>
    <w:p w:rsidR="005A00C9" w:rsidRDefault="005A00C9" w:rsidP="005A00C9">
      <w:pPr>
        <w:spacing w:before="240"/>
      </w:pPr>
    </w:p>
    <w:p w:rsidR="005A00C9" w:rsidRDefault="005A00C9" w:rsidP="005A00C9">
      <w:pPr>
        <w:spacing w:before="240"/>
      </w:pPr>
    </w:p>
    <w:p w:rsidR="005A00C9" w:rsidRDefault="005A00C9" w:rsidP="005A00C9">
      <w:pPr>
        <w:spacing w:before="240"/>
      </w:pPr>
    </w:p>
    <w:p w:rsidR="005A00C9" w:rsidRDefault="005A00C9" w:rsidP="005A00C9">
      <w:pPr>
        <w:spacing w:before="240"/>
      </w:pPr>
    </w:p>
    <w:p w:rsidR="005A00C9" w:rsidRDefault="005A00C9" w:rsidP="005A00C9">
      <w:pPr>
        <w:spacing w:before="240"/>
      </w:pPr>
    </w:p>
    <w:p w:rsidR="005A00C9" w:rsidRDefault="005A00C9" w:rsidP="005A00C9">
      <w:pPr>
        <w:spacing w:before="240"/>
      </w:pPr>
    </w:p>
    <w:p w:rsidR="005A00C9" w:rsidRDefault="005A00C9" w:rsidP="005A00C9">
      <w:pPr>
        <w:spacing w:before="240"/>
      </w:pPr>
    </w:p>
    <w:p w:rsidR="005A00C9" w:rsidRDefault="005A00C9" w:rsidP="005A00C9">
      <w:pPr>
        <w:spacing w:before="240"/>
      </w:pPr>
    </w:p>
    <w:p w:rsidR="005A00C9" w:rsidRDefault="005A00C9" w:rsidP="005A00C9">
      <w:pPr>
        <w:spacing w:before="240"/>
      </w:pPr>
    </w:p>
    <w:p w:rsidR="005A00C9" w:rsidRDefault="005A00C9" w:rsidP="005A00C9">
      <w:pPr>
        <w:spacing w:before="240"/>
      </w:pPr>
    </w:p>
    <w:p w:rsidR="005A00C9" w:rsidRDefault="005A00C9" w:rsidP="005A00C9">
      <w:pPr>
        <w:spacing w:before="240"/>
      </w:pPr>
    </w:p>
    <w:p w:rsidR="005A00C9" w:rsidRDefault="005A00C9" w:rsidP="005A00C9"/>
    <w:p w:rsidR="005A00C9" w:rsidRDefault="005A00C9" w:rsidP="005A00C9"/>
    <w:p w:rsidR="005A00C9" w:rsidRDefault="005A00C9" w:rsidP="005A00C9"/>
    <w:p w:rsidR="005A00C9" w:rsidRDefault="005A00C9" w:rsidP="005A00C9">
      <w:pPr>
        <w:jc w:val="both"/>
      </w:pPr>
    </w:p>
    <w:p w:rsidR="005A00C9" w:rsidRDefault="005A00C9" w:rsidP="005A00C9">
      <w:pPr>
        <w:jc w:val="center"/>
      </w:pPr>
    </w:p>
    <w:p w:rsidR="005A00C9" w:rsidRDefault="005A00C9" w:rsidP="005A00C9">
      <w:pPr>
        <w:jc w:val="center"/>
      </w:pPr>
    </w:p>
    <w:p w:rsidR="005A00C9" w:rsidRDefault="005A00C9" w:rsidP="005A00C9"/>
    <w:p w:rsidR="00B65B19" w:rsidRDefault="00B65B19"/>
    <w:sectPr w:rsidR="00B65B19" w:rsidSect="00B6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0C9"/>
    <w:rsid w:val="005A00C9"/>
    <w:rsid w:val="00B6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2308</Words>
  <Characters>13156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3</cp:revision>
  <dcterms:created xsi:type="dcterms:W3CDTF">2016-11-17T05:45:00Z</dcterms:created>
  <dcterms:modified xsi:type="dcterms:W3CDTF">2016-11-17T05:45:00Z</dcterms:modified>
</cp:coreProperties>
</file>