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E9" w:rsidRPr="00C2240D" w:rsidRDefault="001463E9" w:rsidP="00BD5DFB">
      <w:pPr>
        <w:pBdr>
          <w:bottom w:val="single" w:sz="6" w:space="7" w:color="DADBDA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Анализ состояния и перспектива развития малого и среднего предпринима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тельства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Петрохерсонецкого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AD56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01.01.2018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включает 6 населенных пунктов: административный центр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Новоалексеевка,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Ждамировка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Урицкое, с. Луговое, с. Ягодное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ающего населения составляет 1318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трудоспособного возраста - 716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Трудоустроено - 616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территории поселени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- 435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пределами района – 1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 безработные –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остояние малого и среднего предпринимате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Петрохерсонецком</w:t>
      </w:r>
      <w:proofErr w:type="spellEnd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характеризуется следующими осно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вными показателями: торговля - 3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смешанное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выращивание зерновых культур – 4, аренда и лизинг легковых автомобилей и легких автотранспортных средств – 1, деятельность автомобильного грузового транспорта 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4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зарегистрировано и о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свою деятельность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предпринимательства.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сферам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деятельности предпринимателей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розничная торговля, 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зерновых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E9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</w:t>
      </w:r>
      <w:r w:rsidR="0082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люсь на деятельности некоторых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предпринимательства.</w:t>
      </w:r>
    </w:p>
    <w:p w:rsidR="00BD5DFB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(колхоз) им. Шевченко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(юридическое лицо)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самое крупное сельхозпредприятие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неизменный поставщик рабочих мест. Основная масса работоспособного населения трудятся именно на этом сельхозпредприятии. Причем количество рабочих мест ежегодно увеличивается. Основными видами деятельности сельхозпредприятия является</w:t>
      </w:r>
      <w:r w:rsidRPr="005E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E53AB">
        <w:rPr>
          <w:rFonts w:ascii="Times New Roman" w:hAnsi="Times New Roman" w:cs="Times New Roman"/>
          <w:sz w:val="28"/>
          <w:szCs w:val="28"/>
        </w:rPr>
        <w:t xml:space="preserve">производство, переработка, хранение и реализация сельскохозяйственной продукции в соответствии с местными природными и экономическими условиями и </w:t>
      </w:r>
      <w:proofErr w:type="spellStart"/>
      <w:r w:rsidRPr="005E53AB">
        <w:rPr>
          <w:rFonts w:ascii="Times New Roman" w:hAnsi="Times New Roman" w:cs="Times New Roman"/>
          <w:sz w:val="28"/>
          <w:szCs w:val="28"/>
        </w:rPr>
        <w:t>коньюктурой</w:t>
      </w:r>
      <w:proofErr w:type="spellEnd"/>
      <w:r w:rsidRPr="005E53AB">
        <w:rPr>
          <w:rFonts w:ascii="Times New Roman" w:hAnsi="Times New Roman" w:cs="Times New Roman"/>
          <w:sz w:val="28"/>
          <w:szCs w:val="28"/>
        </w:rPr>
        <w:t xml:space="preserve"> рынка на основе эффективного использования земли и других ресурсов</w:t>
      </w:r>
      <w:r>
        <w:rPr>
          <w:rFonts w:ascii="Times New Roman" w:hAnsi="Times New Roman" w:cs="Times New Roman"/>
          <w:sz w:val="28"/>
          <w:szCs w:val="28"/>
        </w:rPr>
        <w:t>. Обрабатываемая площадь сельхозугодий в СПК (колхо</w:t>
      </w:r>
      <w:r w:rsidR="00BD5DFB">
        <w:rPr>
          <w:rFonts w:ascii="Times New Roman" w:hAnsi="Times New Roman" w:cs="Times New Roman"/>
          <w:sz w:val="28"/>
          <w:szCs w:val="28"/>
        </w:rPr>
        <w:t xml:space="preserve">з) им. Шевченко составляет 18216 га. В хозяйстве содержится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FB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голов крупного рогатого скота</w:t>
      </w:r>
      <w:r w:rsidR="00BD5DFB">
        <w:rPr>
          <w:rFonts w:ascii="Times New Roman" w:hAnsi="Times New Roman" w:cs="Times New Roman"/>
          <w:sz w:val="28"/>
          <w:szCs w:val="28"/>
        </w:rPr>
        <w:t>, 266 голов свиней, 78 голов лошадей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3E9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СПК (колхоз) им. Шевченко 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осуществляют деятельность индивидуальные предприниматели, занимающиеся выращиванием зерновых культур.</w:t>
      </w:r>
    </w:p>
    <w:p w:rsidR="00BD5DFB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хорошо развита и розничная торговля.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3 торговых то</w:t>
      </w:r>
      <w:r w:rsidR="00BD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 по продаже смешанных товаров. 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ЛПХ является одним из основных источников обеспечения не только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продовольствием, но и всеми необходимыми средствами. Есть семьи на территории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которые занимаются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разведением ЛПХ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(реализация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мясной и молоч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продукции)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собственники ЛПХ проявляют интерес к развитию мелко рогатого скота, птицы. Для стартового капитала 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рмлены займы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Росссельхозбанке</w:t>
      </w:r>
      <w:proofErr w:type="spellEnd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63E9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надо отметить положительную динамику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 на территории сельского поселения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предпринимательской деятельности оказываются населению услуги для достойной и комфортной жизни на селе. </w:t>
      </w:r>
      <w:proofErr w:type="gramStart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создана крепкая основа для стабильного развития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общеобразовательные школы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Ягодное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детских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(в этих же селах), 2 сельских дома  культуры и 2 сельских клуба.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населенных пунктах нашего поселения подведен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природный газ. Наша территория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ивлекает граждан для проживания.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на территории поселения администрацией выделено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под застройку жилыми домами. 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наша задача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территория жила и активно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развивалась дальше, необходимо не стоять на месте, каждому предпринимателю работать над собой, осваивать   новые виды деятельности, открывать новые виды услуг населению, создавать новые рабочие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63E9" w:rsidRPr="00C2240D" w:rsidRDefault="001463E9" w:rsidP="001463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  нам надо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звивать на территории поселения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виды услуг, как: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общественного питания;</w:t>
      </w:r>
    </w:p>
    <w:p w:rsidR="001463E9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перерабатывающей с/</w:t>
      </w:r>
      <w:proofErr w:type="spellStart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(мясные полуфабрикаты, пельмени и др.);</w:t>
      </w:r>
    </w:p>
    <w:p w:rsidR="001463E9" w:rsidRDefault="001463E9" w:rsidP="001463E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бытовое обслуживание населения;</w:t>
      </w:r>
    </w:p>
    <w:p w:rsidR="001463E9" w:rsidRPr="00C2240D" w:rsidRDefault="001463E9" w:rsidP="001463E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ЛПХ</w:t>
      </w: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выращивания и дальн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ейшей переработки с/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:rsidR="001463E9" w:rsidRDefault="001463E9" w:rsidP="00146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администрации МО </w:t>
      </w:r>
      <w:proofErr w:type="spellStart"/>
      <w:r w:rsidRPr="00FF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Петрохерсонецкий</w:t>
      </w:r>
      <w:proofErr w:type="spellEnd"/>
      <w:r w:rsidRPr="00FF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создан</w:t>
      </w:r>
      <w:r w:rsidRPr="00FF42A0">
        <w:rPr>
          <w:rFonts w:ascii="Times New Roman" w:hAnsi="Times New Roman" w:cs="Times New Roman"/>
          <w:sz w:val="28"/>
          <w:szCs w:val="28"/>
        </w:rPr>
        <w:t xml:space="preserve"> Координационный совет в области развития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а. Я</w:t>
      </w:r>
      <w:r w:rsidRPr="00FF42A0">
        <w:rPr>
          <w:rFonts w:ascii="Times New Roman" w:hAnsi="Times New Roman" w:cs="Times New Roman"/>
          <w:sz w:val="28"/>
          <w:szCs w:val="28"/>
        </w:rPr>
        <w:t xml:space="preserve">вляется постоянно действующим органом, образованным для обеспечения </w:t>
      </w:r>
      <w:proofErr w:type="gramStart"/>
      <w:r w:rsidRPr="00FF42A0">
        <w:rPr>
          <w:rFonts w:ascii="Times New Roman" w:hAnsi="Times New Roman" w:cs="Times New Roman"/>
          <w:sz w:val="28"/>
          <w:szCs w:val="28"/>
        </w:rPr>
        <w:t>координации деятельности органов местного самоуправления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F42A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F42A0">
        <w:rPr>
          <w:rFonts w:ascii="Times New Roman" w:hAnsi="Times New Roman" w:cs="Times New Roman"/>
          <w:sz w:val="28"/>
          <w:szCs w:val="28"/>
        </w:rPr>
        <w:t xml:space="preserve">  района и представителей предпринимательского сообщества по выработке предложений и условий для развития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на территории муниципального </w:t>
      </w:r>
      <w:r w:rsidRPr="00FF42A0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2A0">
        <w:rPr>
          <w:rFonts w:ascii="Times New Roman" w:hAnsi="Times New Roman" w:cs="Times New Roman"/>
          <w:sz w:val="28"/>
          <w:szCs w:val="28"/>
        </w:rPr>
        <w:t>района.</w:t>
      </w:r>
    </w:p>
    <w:p w:rsidR="001463E9" w:rsidRDefault="001463E9" w:rsidP="001463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334" w:rsidRDefault="001463E9" w:rsidP="001463E9">
      <w:pPr>
        <w:rPr>
          <w:rFonts w:ascii="Times New Roman" w:hAnsi="Times New Roman" w:cs="Times New Roman"/>
          <w:sz w:val="28"/>
          <w:szCs w:val="28"/>
        </w:rPr>
      </w:pPr>
      <w:r w:rsidRPr="00C2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              Е.Г. Егорова</w:t>
      </w:r>
    </w:p>
    <w:p w:rsidR="00237284" w:rsidRPr="00237284" w:rsidRDefault="00237284" w:rsidP="002372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728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7284" w:rsidRPr="00237284" w:rsidRDefault="00237284" w:rsidP="0023728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37284" w:rsidRPr="00237284" w:rsidRDefault="00237284" w:rsidP="002372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284">
        <w:rPr>
          <w:rFonts w:ascii="Times New Roman" w:hAnsi="Times New Roman" w:cs="Times New Roman"/>
          <w:b/>
          <w:bCs/>
          <w:sz w:val="24"/>
          <w:szCs w:val="24"/>
        </w:rPr>
        <w:t xml:space="preserve">Данные по муниципальному образованию </w:t>
      </w:r>
      <w:proofErr w:type="spellStart"/>
      <w:r w:rsidRPr="00237284">
        <w:rPr>
          <w:rFonts w:ascii="Times New Roman" w:hAnsi="Times New Roman" w:cs="Times New Roman"/>
          <w:b/>
          <w:bCs/>
          <w:sz w:val="24"/>
          <w:szCs w:val="24"/>
        </w:rPr>
        <w:t>Петрохерсонецкий</w:t>
      </w:r>
      <w:proofErr w:type="spellEnd"/>
      <w:r w:rsidRPr="0023728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237284">
        <w:rPr>
          <w:rFonts w:ascii="Times New Roman" w:hAnsi="Times New Roman" w:cs="Times New Roman"/>
          <w:b/>
          <w:bCs/>
          <w:sz w:val="24"/>
          <w:szCs w:val="24"/>
        </w:rPr>
        <w:t>Грамчевского</w:t>
      </w:r>
      <w:proofErr w:type="spellEnd"/>
      <w:r w:rsidRPr="0023728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824A9A">
        <w:rPr>
          <w:rFonts w:ascii="Times New Roman" w:hAnsi="Times New Roman" w:cs="Times New Roman"/>
          <w:b/>
          <w:bCs/>
          <w:sz w:val="24"/>
          <w:szCs w:val="24"/>
        </w:rPr>
        <w:t>а Оренбургской области на  1 января 2018</w:t>
      </w:r>
      <w:r w:rsidRPr="0023728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37284" w:rsidRPr="00237284" w:rsidRDefault="00237284" w:rsidP="0023728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10605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4106"/>
        <w:gridCol w:w="612"/>
        <w:gridCol w:w="1190"/>
        <w:gridCol w:w="891"/>
        <w:gridCol w:w="913"/>
        <w:gridCol w:w="938"/>
        <w:gridCol w:w="845"/>
        <w:gridCol w:w="720"/>
      </w:tblGrid>
      <w:tr w:rsidR="00237284" w:rsidRPr="00237284" w:rsidTr="008C56B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84" w:rsidRPr="00237284" w:rsidRDefault="00237284" w:rsidP="0023728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37284" w:rsidRPr="00237284" w:rsidRDefault="00237284" w:rsidP="00237284">
            <w:pPr>
              <w:spacing w:after="0" w:line="240" w:lineRule="auto"/>
              <w:ind w:firstLine="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237284" w:rsidRPr="00237284" w:rsidRDefault="00237284" w:rsidP="00237284">
            <w:pPr>
              <w:spacing w:after="0" w:line="240" w:lineRule="auto"/>
              <w:ind w:firstLine="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по</w:t>
            </w:r>
          </w:p>
          <w:p w:rsidR="00237284" w:rsidRPr="00237284" w:rsidRDefault="00237284" w:rsidP="00237284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по субъектам малого и среднего предпринимательства </w:t>
            </w:r>
            <w:r w:rsidRPr="00237284">
              <w:rPr>
                <w:rFonts w:ascii="Times New Roman" w:hAnsi="Times New Roman" w:cs="Times New Roman"/>
                <w:bCs/>
                <w:sz w:val="18"/>
                <w:szCs w:val="18"/>
              </w:rPr>
              <w:t>(сумма граф 5,6,7,8,9)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Малые </w:t>
            </w:r>
            <w:proofErr w:type="spell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предпри</w:t>
            </w:r>
            <w:proofErr w:type="spellEnd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ятия</w:t>
            </w:r>
            <w:proofErr w:type="spellEnd"/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 учетом </w:t>
            </w:r>
            <w:proofErr w:type="spell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микропредприятий</w:t>
            </w:r>
            <w:proofErr w:type="spellEnd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без КФХ)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Индивидуальные предприниматели  </w:t>
            </w:r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(ПБОЮЛ, без КФХ)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Средние предприятия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Крестьянские (фермерские) </w:t>
            </w:r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хозяйства</w:t>
            </w:r>
          </w:p>
        </w:tc>
      </w:tr>
      <w:tr w:rsidR="00237284" w:rsidRPr="00237284" w:rsidTr="008C56BE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КФХ </w:t>
            </w:r>
            <w:proofErr w:type="gramStart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-П</w:t>
            </w:r>
            <w:proofErr w:type="gramEnd"/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БОЮЛ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КФХ –</w:t>
            </w:r>
          </w:p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юр. лица</w:t>
            </w:r>
          </w:p>
        </w:tc>
      </w:tr>
      <w:tr w:rsidR="00237284" w:rsidRPr="00237284" w:rsidTr="008C56BE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237284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Количество, единиц: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 xml:space="preserve">Добыча полезных ископаемых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rPr>
          <w:trHeight w:val="33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284">
              <w:rPr>
                <w:rFonts w:ascii="Times New Roman" w:hAnsi="Times New Roman" w:cs="Times New Roman"/>
              </w:rPr>
              <w:t>д</w:t>
            </w:r>
            <w:proofErr w:type="spellEnd"/>
            <w:r w:rsidRPr="00237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284">
              <w:rPr>
                <w:rFonts w:ascii="Times New Roman" w:hAnsi="Times New Roman" w:cs="Times New Roman"/>
                <w:b/>
              </w:rPr>
              <w:t>Доля предприятий в общем количестве предприятий и организаций, учтенных в регистре хозяйствующих субъектов, %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rPr>
          <w:trHeight w:val="3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Численность населения муниципального образования, чел.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24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rPr>
          <w:trHeight w:val="5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A181D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32569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Количество субъектов предпринимательства на 1000 жителей МО, единиц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Численность занятого населения МО, чел.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A181D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24A9A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Среднесписочная численность работников  всех предприятий и организаций МО, чел.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Среднесписочная  численность постоянных работников, чел.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A181D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24A9A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 xml:space="preserve">Добыча полезных ископаемых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в</w:t>
            </w:r>
            <w:r w:rsidRPr="00237284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lastRenderedPageBreak/>
              <w:t xml:space="preserve">Производство и распределение </w:t>
            </w:r>
            <w:r w:rsidRPr="00237284">
              <w:rPr>
                <w:rFonts w:ascii="Times New Roman" w:hAnsi="Times New Roman" w:cs="Times New Roman"/>
              </w:rPr>
              <w:lastRenderedPageBreak/>
              <w:t>электроэнергии, газа и воды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lastRenderedPageBreak/>
              <w:t>г)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A181D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8A181D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182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284">
              <w:rPr>
                <w:rFonts w:ascii="Times New Roman" w:hAnsi="Times New Roman" w:cs="Times New Roman"/>
              </w:rPr>
              <w:t>д</w:t>
            </w:r>
            <w:proofErr w:type="spellEnd"/>
            <w:r w:rsidRPr="00237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rPr>
          <w:trHeight w:val="80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237284">
              <w:rPr>
                <w:rFonts w:ascii="Times New Roman" w:hAnsi="Times New Roman" w:cs="Times New Roman"/>
                <w:b/>
                <w:bCs/>
              </w:rPr>
              <w:t>Доля занятых в малом и среднем бизнесе в общей среднесписочной численности занятых  в МО, %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3</w:t>
            </w:r>
            <w:r w:rsidR="008A181D">
              <w:rPr>
                <w:rFonts w:ascii="Times New Roman" w:hAnsi="Times New Roman" w:cs="Times New Roman"/>
              </w:rPr>
              <w:t>0</w:t>
            </w: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18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 xml:space="preserve">Объем производства продукции (работ, услуг), млн. руб. </w:t>
            </w:r>
            <w:r w:rsidRPr="00237284">
              <w:rPr>
                <w:rFonts w:ascii="Times New Roman" w:hAnsi="Times New Roman" w:cs="Times New Roman"/>
                <w:i/>
                <w:iCs/>
              </w:rPr>
              <w:t>(по малым и средним предприятиям - оборот)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159</w:t>
            </w:r>
            <w:r w:rsidR="00237284" w:rsidRPr="00237284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103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 xml:space="preserve">Добыча полезных ископаемых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159,103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159,103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>159,103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284">
              <w:rPr>
                <w:rFonts w:ascii="Times New Roman" w:hAnsi="Times New Roman" w:cs="Times New Roman"/>
              </w:rPr>
              <w:t>д</w:t>
            </w:r>
            <w:proofErr w:type="spellEnd"/>
            <w:r w:rsidRPr="00237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284">
              <w:rPr>
                <w:rFonts w:ascii="Times New Roman" w:hAnsi="Times New Roman" w:cs="Times New Roman"/>
                <w:b/>
              </w:rPr>
              <w:t>Общий объем расходов бюджета муниципального образования на развитие и поддержку предпринимательства, тыс. руб.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 xml:space="preserve">Площадь используемых земель, </w:t>
            </w:r>
            <w:proofErr w:type="gramStart"/>
            <w:r w:rsidRPr="00237284"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18216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</w:rPr>
              <w:t>18216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 xml:space="preserve">Всего уплачено налогов, тыс. </w:t>
            </w:r>
            <w:proofErr w:type="spellStart"/>
            <w:r w:rsidRPr="00237284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237284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19,9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0841E7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45608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37284" w:rsidRPr="00237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t>13.</w:t>
            </w:r>
            <w:r w:rsidRPr="002372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284">
              <w:rPr>
                <w:rFonts w:ascii="Times New Roman" w:hAnsi="Times New Roman" w:cs="Times New Roman"/>
              </w:rPr>
              <w:lastRenderedPageBreak/>
              <w:t>единого сельскохозяйственного налога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45608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237284"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45608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37284" w:rsidRPr="00237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37284" w:rsidRPr="00237284" w:rsidTr="008C56B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lastRenderedPageBreak/>
              <w:t>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7284">
              <w:rPr>
                <w:rFonts w:ascii="Times New Roman" w:hAnsi="Times New Roman" w:cs="Times New Roman"/>
                <w:b/>
                <w:bCs/>
              </w:rPr>
              <w:t>Доля  налоговых  поступлений от субъектов предпринимательства  в общей сумме налогов, поступивших в местный бюджет, % *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hAnsi="Times New Roman" w:cs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84" w:rsidRPr="00237284" w:rsidRDefault="00237284" w:rsidP="00237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37284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37284" w:rsidRPr="00237284" w:rsidRDefault="00237284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7284">
        <w:rPr>
          <w:rFonts w:ascii="Times New Roman" w:hAnsi="Times New Roman" w:cs="Times New Roman"/>
          <w:sz w:val="18"/>
          <w:szCs w:val="18"/>
        </w:rPr>
        <w:t>МО – муниципальное образование</w:t>
      </w:r>
    </w:p>
    <w:p w:rsidR="00237284" w:rsidRPr="00237284" w:rsidRDefault="00237284" w:rsidP="0023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284">
        <w:rPr>
          <w:rFonts w:ascii="Times New Roman" w:hAnsi="Times New Roman" w:cs="Times New Roman"/>
          <w:sz w:val="18"/>
          <w:szCs w:val="18"/>
        </w:rPr>
        <w:t>КФХ – крестьянское (фермерское) хозяйство</w:t>
      </w:r>
    </w:p>
    <w:p w:rsidR="00237284" w:rsidRPr="00237284" w:rsidRDefault="00237284" w:rsidP="00237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284">
        <w:rPr>
          <w:rFonts w:ascii="Times New Roman" w:hAnsi="Times New Roman" w:cs="Times New Roman"/>
          <w:sz w:val="18"/>
          <w:szCs w:val="18"/>
        </w:rPr>
        <w:t>ПБОЮЛ – предприниматели без образования юридического лица</w:t>
      </w:r>
    </w:p>
    <w:p w:rsidR="00237284" w:rsidRPr="00237284" w:rsidRDefault="00237284" w:rsidP="00237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7284" w:rsidRPr="00237284" w:rsidRDefault="00237284" w:rsidP="002372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284">
        <w:rPr>
          <w:rFonts w:ascii="Times New Roman" w:hAnsi="Times New Roman" w:cs="Times New Roman"/>
        </w:rPr>
        <w:t>* Имеются в виду все виды налогов, уплачиваемые субъектами предпринимательства, а не только налоги со специальным налоговым режимом (п. 13.1, 13.2, 13.3)1</w:t>
      </w:r>
    </w:p>
    <w:p w:rsidR="00237284" w:rsidRPr="00237284" w:rsidRDefault="00237284" w:rsidP="0023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84" w:rsidRPr="00237284" w:rsidRDefault="00237284" w:rsidP="00237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284" w:rsidRPr="00237284" w:rsidRDefault="00237284" w:rsidP="00237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284" w:rsidRPr="00237284" w:rsidRDefault="00237284" w:rsidP="00237284">
      <w:pPr>
        <w:spacing w:after="0" w:line="240" w:lineRule="auto"/>
        <w:rPr>
          <w:rFonts w:ascii="Times New Roman" w:hAnsi="Times New Roman" w:cs="Times New Roman"/>
        </w:rPr>
      </w:pPr>
    </w:p>
    <w:p w:rsidR="00237284" w:rsidRPr="00237284" w:rsidRDefault="00237284" w:rsidP="00237284">
      <w:pPr>
        <w:spacing w:after="0" w:line="240" w:lineRule="auto"/>
        <w:rPr>
          <w:rFonts w:ascii="Times New Roman" w:hAnsi="Times New Roman" w:cs="Times New Roman"/>
        </w:rPr>
      </w:pPr>
    </w:p>
    <w:sectPr w:rsidR="00237284" w:rsidRPr="00237284" w:rsidSect="0006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1463E9"/>
    <w:rsid w:val="00063334"/>
    <w:rsid w:val="000841E7"/>
    <w:rsid w:val="001463E9"/>
    <w:rsid w:val="00164A04"/>
    <w:rsid w:val="00237284"/>
    <w:rsid w:val="00245608"/>
    <w:rsid w:val="00373EF5"/>
    <w:rsid w:val="00824A9A"/>
    <w:rsid w:val="008A181D"/>
    <w:rsid w:val="00AD56D8"/>
    <w:rsid w:val="00AE7F25"/>
    <w:rsid w:val="00BD5DFB"/>
    <w:rsid w:val="00C075E6"/>
    <w:rsid w:val="00C4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2016-09-26T06:34:00Z</dcterms:created>
  <dcterms:modified xsi:type="dcterms:W3CDTF">2018-02-07T10:51:00Z</dcterms:modified>
</cp:coreProperties>
</file>